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4E" w:rsidRPr="00FC4E4E" w:rsidRDefault="00FC4E4E" w:rsidP="00FC4E4E">
      <w:pPr>
        <w:jc w:val="right"/>
        <w:rPr>
          <w:rFonts w:asciiTheme="minorHAnsi" w:hAnsiTheme="minorHAnsi" w:cstheme="minorHAnsi"/>
          <w:sz w:val="22"/>
          <w:szCs w:val="22"/>
        </w:rPr>
      </w:pPr>
      <w:r w:rsidRPr="00FC4E4E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do </w:t>
      </w:r>
      <w:r w:rsidRPr="00FC4E4E">
        <w:rPr>
          <w:rFonts w:asciiTheme="minorHAnsi" w:hAnsiTheme="minorHAnsi" w:cstheme="minorHAnsi"/>
          <w:sz w:val="22"/>
          <w:szCs w:val="22"/>
        </w:rPr>
        <w:t>SIWZ kardio</w:t>
      </w:r>
    </w:p>
    <w:p w:rsidR="00FC4E4E" w:rsidRPr="00FC4E4E" w:rsidRDefault="00FC4E4E" w:rsidP="00FC4E4E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1276"/>
        <w:gridCol w:w="3113"/>
      </w:tblGrid>
      <w:tr w:rsidR="00FC4E4E" w:rsidRPr="00FC4E4E" w:rsidTr="00FC4E4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Kardiomonitory szt 5</w:t>
            </w: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Cs/>
                <w:kern w:val="3"/>
                <w:lang w:eastAsia="pl-PL" w:bidi="hi-IN"/>
              </w:rPr>
            </w:pPr>
            <w:r w:rsidRPr="00FC4E4E">
              <w:rPr>
                <w:rFonts w:cstheme="minorHAnsi"/>
                <w:bCs/>
                <w:kern w:val="3"/>
                <w:lang w:eastAsia="pl-PL" w:bidi="hi-IN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(opisać)</w:t>
            </w: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 xml:space="preserve">Nazwa oferowanego urządzenia: </w:t>
            </w:r>
          </w:p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Producent:</w:t>
            </w: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C4E4E" w:rsidRPr="00FC4E4E" w:rsidRDefault="00FC4E4E" w:rsidP="00397A3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FC4E4E">
              <w:rPr>
                <w:rFonts w:cstheme="minorHAnsi"/>
              </w:rPr>
              <w:t>Typ:</w:t>
            </w:r>
          </w:p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Rok produkcji: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 xml:space="preserve">Kompaktowy i przenośny kardiomonitor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Mocny uchwyt i twarda obudowa ułatwiająca przenoszenie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Ekran LCD 10,4” o wysokiej rozdzielczości  (800 x 600 pikseli) z maksymalnie 10 krzywymi na ekranie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Wklęsła czcionka wyświetlanych parametrów w celu lepszej wizualizacji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Min. 6 ekranów wirtualnych umożliwiających wyświetlanie parametrów i krzywych w różnych konfiguracjach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Funkcja obrazowania mini trendów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Wyliczanie dawki leków dla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Zapis danych tabelarycznych i trendów graficznych do 7 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Możliwość wpisywania danych demograficznych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Zmiana kolorów wyświetlanych krzywych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Niska waga, nie większa niż 7 kg łącznie z jednym akumulatorem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Małe wymiary max. 290 x 175 x 280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Menu obsługi urządzenia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Aktualizacja i serwisowanie przez kartę SD (max. 2GB)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Mozliwość podłączenia do centralnej stacji nadzoru pacjentów przy wykorzystaniu sieci LAN i/lub sieci bezprzewodowej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Wydajny akumulator litowo-jonowy z możliwością pracy do 2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Możliwość analizy 3 kanałów EKG przy pomocy kabla 3 - odprowadzeniowego, lub 7 kanałów z kabla 5 odprowadzeniowego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Możliwość pełnej analizy do 7 kanałów EKG z analizą odcinka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 xml:space="preserve">Możliwość rozbudowy do 12-kanałowego EKG z analizą odcinka 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Wykrywanie min. 13 rodzajów arytmii t.j. TAC, BRD, PVC,VTAC, ASY, BGM, TGM, VENT, VFIB, CPT, TPT, MIB, R/T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Detekcja kardiostymulatorów i wykrywanie arytmii kardiostymulatorów tj. PNF, PNC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 xml:space="preserve"> Zapis przykładowych fragmentów EKG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Analiza HRV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Zakres pomiaru tętna: min. 0-300 bpm (+/-, 2 bpm)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Saturacja SpO2 kompatybilna z czujnikami dla dorosłych, dzieci i noworodków.</w:t>
            </w:r>
            <w:r w:rsidRPr="00FC4E4E">
              <w:rPr>
                <w:rFonts w:asciiTheme="minorHAnsi" w:hAnsiTheme="minorHAnsi" w:cstheme="minorHAnsi"/>
                <w:sz w:val="22"/>
                <w:szCs w:val="22"/>
              </w:rPr>
              <w:br/>
              <w:t>Zakres pomiaru SpO2: 0 - 100%.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Nieinwazyjny pomiar ciśnienia krwi (NIBP) obejmujący pomiary NIBP Statystyka co 5-15min, NIBP Żylne Statystyka w zakresie 50 - 200 mmHg oraz NIBP Maks. Poziom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Zakres pomiarowy NIBP: dla dorosłych min. 0 - 300 mmHg, dla noworodków min. 0 - 150 mmHg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Oddech, zakres pomiaru 0-200 oddechów / minutę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 xml:space="preserve">Powiększony wykres zmian HR, SpO2 oraz Oddechu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Pomiar APG (Accelerated Plethysmogram)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 xml:space="preserve">Możliwość pomiaru Temperatury w 2 kanałach w trybie ciągłym, pomiar rektalny i skórny.  </w:t>
            </w:r>
            <w:r w:rsidRPr="00FC4E4E">
              <w:rPr>
                <w:rFonts w:asciiTheme="minorHAnsi" w:hAnsiTheme="minorHAnsi" w:cstheme="minorHAnsi"/>
                <w:sz w:val="22"/>
                <w:szCs w:val="22"/>
              </w:rPr>
              <w:br/>
              <w:t>Zakres pomiarowy 0-50C.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Możliwość inwazyjnego pomiaru ciśnienia krwi (IBP) w 2 kanałach.</w:t>
            </w:r>
            <w:r w:rsidRPr="00FC4E4E">
              <w:rPr>
                <w:rFonts w:asciiTheme="minorHAnsi" w:hAnsiTheme="minorHAnsi" w:cstheme="minorHAnsi"/>
                <w:sz w:val="22"/>
                <w:szCs w:val="22"/>
              </w:rPr>
              <w:br/>
              <w:t>Zakres pomiarowy -50 - 350 mmHg.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Możliwość rozbudowy pomiar kapnografii EtCO2 do wyboru : microstream, mainsteam, sidestream.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Mozliwość rozbudowy o pomiar ICO przy pomocy cewnika Swan-Ganz metodą termodilucji wykorzystującą cewnik tętnicy płucnej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4E4E" w:rsidRPr="00FC4E4E" w:rsidTr="00FC4E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FC4E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kern w:val="3"/>
                <w:lang w:eastAsia="pl-PL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Dedykowany mobilny stolik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E4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4E" w:rsidRPr="00FC4E4E" w:rsidRDefault="00FC4E4E" w:rsidP="00397A3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C4E4E" w:rsidRPr="00FC4E4E" w:rsidRDefault="00FC4E4E" w:rsidP="00FC4E4E">
      <w:pPr>
        <w:rPr>
          <w:rFonts w:asciiTheme="minorHAnsi" w:hAnsiTheme="minorHAnsi" w:cstheme="minorHAnsi"/>
          <w:sz w:val="22"/>
          <w:szCs w:val="22"/>
        </w:rPr>
      </w:pPr>
    </w:p>
    <w:p w:rsidR="00291273" w:rsidRPr="008D1650" w:rsidRDefault="00291273" w:rsidP="008D1650"/>
    <w:sectPr w:rsidR="00291273" w:rsidRPr="008D1650" w:rsidSect="008D16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13" w:rsidRDefault="00C26E13" w:rsidP="008D1650">
      <w:r>
        <w:separator/>
      </w:r>
    </w:p>
  </w:endnote>
  <w:endnote w:type="continuationSeparator" w:id="0">
    <w:p w:rsidR="00C26E13" w:rsidRDefault="00C26E13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13" w:rsidRDefault="00C26E13" w:rsidP="008D1650">
      <w:r>
        <w:separator/>
      </w:r>
    </w:p>
  </w:footnote>
  <w:footnote w:type="continuationSeparator" w:id="0">
    <w:p w:rsidR="00C26E13" w:rsidRDefault="00C26E13" w:rsidP="008D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497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8"/>
      <w:gridCol w:w="2425"/>
      <w:gridCol w:w="2324"/>
      <w:gridCol w:w="2580"/>
    </w:tblGrid>
    <w:tr w:rsidR="00FC4E4E" w:rsidRPr="00BC6FE8" w:rsidTr="00FC4E4E">
      <w:trPr>
        <w:trHeight w:val="480"/>
      </w:trPr>
      <w:tc>
        <w:tcPr>
          <w:tcW w:w="972" w:type="pct"/>
          <w:hideMark/>
        </w:tcPr>
        <w:p w:rsidR="00FC4E4E" w:rsidRPr="00BC6FE8" w:rsidRDefault="00FC4E4E" w:rsidP="00FC4E4E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E9D109E" wp14:editId="0A934628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C4E4E" w:rsidRPr="00BC6FE8" w:rsidRDefault="00FC4E4E" w:rsidP="00FC4E4E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EF72E51" wp14:editId="7BB8C5B2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C4E4E" w:rsidRPr="00BC6FE8" w:rsidRDefault="00FC4E4E" w:rsidP="00FC4E4E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7A85298F" wp14:editId="6198425E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C4E4E" w:rsidRPr="00BC6FE8" w:rsidRDefault="00FC4E4E" w:rsidP="00FC4E4E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936EDE3" wp14:editId="3B50D9DC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6EA"/>
    <w:multiLevelType w:val="hybridMultilevel"/>
    <w:tmpl w:val="E2B4987C"/>
    <w:lvl w:ilvl="0" w:tplc="3426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291273"/>
    <w:rsid w:val="00452B2B"/>
    <w:rsid w:val="004A6B07"/>
    <w:rsid w:val="00634424"/>
    <w:rsid w:val="006908CF"/>
    <w:rsid w:val="008D1650"/>
    <w:rsid w:val="00C26E13"/>
    <w:rsid w:val="00DA07A3"/>
    <w:rsid w:val="00E212A5"/>
    <w:rsid w:val="00EF0600"/>
    <w:rsid w:val="00FC4E4E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Wypunktowanie,Normal2"/>
    <w:basedOn w:val="Normalny"/>
    <w:link w:val="AkapitzlistZnak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AkapitzlistZnak">
    <w:name w:val="Akapit z listą Znak"/>
    <w:aliases w:val="Akapit z listą3 Znak,Akapit z listą31 Znak,Wypunktowanie Znak,Normal2 Znak"/>
    <w:link w:val="Akapitzlist"/>
    <w:locked/>
    <w:rsid w:val="00FC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2018-11-22T12:30:00Z</cp:lastPrinted>
  <dcterms:created xsi:type="dcterms:W3CDTF">2020-10-09T11:35:00Z</dcterms:created>
  <dcterms:modified xsi:type="dcterms:W3CDTF">2020-10-09T11:35:00Z</dcterms:modified>
</cp:coreProperties>
</file>